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1701"/>
        <w:gridCol w:w="5812"/>
        <w:gridCol w:w="5959"/>
      </w:tblGrid>
      <w:tr w:rsidR="001C37BC" w:rsidRPr="008B5D78" w14:paraId="1026E938" w14:textId="77777777" w:rsidTr="00986C6B">
        <w:tc>
          <w:tcPr>
            <w:tcW w:w="421" w:type="dxa"/>
            <w:shd w:val="clear" w:color="auto" w:fill="ADADAD" w:themeFill="background2" w:themeFillShade="BF"/>
          </w:tcPr>
          <w:p w14:paraId="44F66616" w14:textId="2902C119" w:rsidR="002436FA" w:rsidRPr="008B5D78" w:rsidRDefault="002436FA" w:rsidP="00037C7E">
            <w:pPr>
              <w:jc w:val="center"/>
              <w:rPr>
                <w:b/>
                <w:bCs/>
                <w:sz w:val="20"/>
                <w:szCs w:val="20"/>
              </w:rPr>
            </w:pPr>
            <w:r w:rsidRPr="008B5D78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992" w:type="dxa"/>
            <w:shd w:val="clear" w:color="auto" w:fill="ADADAD" w:themeFill="background2" w:themeFillShade="BF"/>
          </w:tcPr>
          <w:p w14:paraId="3BB74584" w14:textId="186D8D1B" w:rsidR="002436FA" w:rsidRPr="008B5D78" w:rsidRDefault="002436FA" w:rsidP="00037C7E">
            <w:pPr>
              <w:jc w:val="center"/>
              <w:rPr>
                <w:b/>
                <w:bCs/>
                <w:sz w:val="20"/>
                <w:szCs w:val="20"/>
              </w:rPr>
            </w:pPr>
            <w:r w:rsidRPr="008B5D78">
              <w:rPr>
                <w:b/>
                <w:bCs/>
                <w:sz w:val="20"/>
                <w:szCs w:val="20"/>
              </w:rPr>
              <w:t>Jednostka redakcyjna</w:t>
            </w:r>
          </w:p>
        </w:tc>
        <w:tc>
          <w:tcPr>
            <w:tcW w:w="1701" w:type="dxa"/>
            <w:shd w:val="clear" w:color="auto" w:fill="ADADAD" w:themeFill="background2" w:themeFillShade="BF"/>
          </w:tcPr>
          <w:p w14:paraId="00F2A589" w14:textId="72C44F25" w:rsidR="002436FA" w:rsidRPr="008B5D78" w:rsidRDefault="002436FA" w:rsidP="00037C7E">
            <w:pPr>
              <w:jc w:val="center"/>
              <w:rPr>
                <w:b/>
                <w:bCs/>
                <w:sz w:val="20"/>
                <w:szCs w:val="20"/>
              </w:rPr>
            </w:pPr>
            <w:r w:rsidRPr="008B5D78">
              <w:rPr>
                <w:b/>
                <w:bCs/>
                <w:sz w:val="20"/>
                <w:szCs w:val="20"/>
              </w:rPr>
              <w:t>Podmiot zgłaszający uwagę</w:t>
            </w:r>
          </w:p>
        </w:tc>
        <w:tc>
          <w:tcPr>
            <w:tcW w:w="5812" w:type="dxa"/>
            <w:shd w:val="clear" w:color="auto" w:fill="ADADAD" w:themeFill="background2" w:themeFillShade="BF"/>
          </w:tcPr>
          <w:p w14:paraId="77C51E4E" w14:textId="033F5522" w:rsidR="002436FA" w:rsidRPr="008B5D78" w:rsidRDefault="002436FA" w:rsidP="00037C7E">
            <w:pPr>
              <w:jc w:val="center"/>
              <w:rPr>
                <w:b/>
                <w:bCs/>
                <w:sz w:val="20"/>
                <w:szCs w:val="20"/>
              </w:rPr>
            </w:pPr>
            <w:r w:rsidRPr="008B5D78">
              <w:rPr>
                <w:b/>
                <w:bCs/>
                <w:sz w:val="20"/>
                <w:szCs w:val="20"/>
              </w:rPr>
              <w:t>Treść uwagi</w:t>
            </w:r>
            <w:r w:rsidR="00572229">
              <w:rPr>
                <w:b/>
                <w:bCs/>
                <w:sz w:val="20"/>
                <w:szCs w:val="20"/>
              </w:rPr>
              <w:t xml:space="preserve"> </w:t>
            </w:r>
            <w:r w:rsidR="00572229" w:rsidRPr="00572229">
              <w:rPr>
                <w:b/>
                <w:bCs/>
                <w:sz w:val="20"/>
                <w:szCs w:val="20"/>
              </w:rPr>
              <w:t>FS1.021.147.2024</w:t>
            </w:r>
          </w:p>
        </w:tc>
        <w:tc>
          <w:tcPr>
            <w:tcW w:w="5959" w:type="dxa"/>
            <w:shd w:val="clear" w:color="auto" w:fill="ADADAD" w:themeFill="background2" w:themeFillShade="BF"/>
          </w:tcPr>
          <w:p w14:paraId="6028969D" w14:textId="4B4F1A29" w:rsidR="002436FA" w:rsidRPr="008B5D78" w:rsidRDefault="002436FA" w:rsidP="00037C7E">
            <w:pPr>
              <w:jc w:val="center"/>
              <w:rPr>
                <w:b/>
                <w:bCs/>
                <w:sz w:val="20"/>
                <w:szCs w:val="20"/>
              </w:rPr>
            </w:pPr>
            <w:r w:rsidRPr="008B5D78">
              <w:rPr>
                <w:b/>
                <w:bCs/>
                <w:sz w:val="20"/>
                <w:szCs w:val="20"/>
              </w:rPr>
              <w:t>Stanowisko Ministra Zdrowia</w:t>
            </w:r>
          </w:p>
        </w:tc>
      </w:tr>
      <w:tr w:rsidR="002436FA" w:rsidRPr="008B5D78" w14:paraId="7847414E" w14:textId="77777777" w:rsidTr="00986C6B">
        <w:tc>
          <w:tcPr>
            <w:tcW w:w="421" w:type="dxa"/>
          </w:tcPr>
          <w:p w14:paraId="3FCDB733" w14:textId="14DE7EDC" w:rsidR="002436FA" w:rsidRPr="008B5D78" w:rsidRDefault="001D2998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1.</w:t>
            </w:r>
          </w:p>
        </w:tc>
        <w:tc>
          <w:tcPr>
            <w:tcW w:w="992" w:type="dxa"/>
          </w:tcPr>
          <w:p w14:paraId="51F9FFA9" w14:textId="55D94CD8" w:rsidR="002436FA" w:rsidRPr="008B5D78" w:rsidRDefault="001D2998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O</w:t>
            </w:r>
            <w:r w:rsidR="001C37BC" w:rsidRPr="008B5D78">
              <w:rPr>
                <w:sz w:val="20"/>
                <w:szCs w:val="20"/>
              </w:rPr>
              <w:t>SR</w:t>
            </w:r>
          </w:p>
        </w:tc>
        <w:tc>
          <w:tcPr>
            <w:tcW w:w="1701" w:type="dxa"/>
          </w:tcPr>
          <w:p w14:paraId="7ED1D1F4" w14:textId="0E57102F" w:rsidR="002436FA" w:rsidRPr="008B5D78" w:rsidRDefault="001C37BC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Minister Finansów</w:t>
            </w:r>
          </w:p>
        </w:tc>
        <w:tc>
          <w:tcPr>
            <w:tcW w:w="5812" w:type="dxa"/>
          </w:tcPr>
          <w:p w14:paraId="5EC9FDF0" w14:textId="6FFF5230" w:rsidR="001C37BC" w:rsidRPr="008B5D78" w:rsidRDefault="001C37BC" w:rsidP="001C37BC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Należy podkreślić sygnalizowane w ostatnim czasie dodatkowe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potrzeby finansowe dotyczące finansowania ochrony zdrowia wykraczające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znacznie ponad wartość referencyjną określoną w art 131c ww. ustawy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o świadczeniach na 2025 r. i lata kolejne. W sytuacji</w:t>
            </w:r>
            <w:r w:rsidR="00C612B6">
              <w:rPr>
                <w:sz w:val="20"/>
                <w:szCs w:val="20"/>
              </w:rPr>
              <w:t>,</w:t>
            </w:r>
            <w:r w:rsidRPr="008B5D78">
              <w:rPr>
                <w:sz w:val="20"/>
                <w:szCs w:val="20"/>
              </w:rPr>
              <w:t xml:space="preserve"> gdy jak wspomniano w piśmie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Ministra Finansów z dnia 24 kwietnia br.</w:t>
            </w:r>
            <w:r w:rsidR="00C612B6">
              <w:rPr>
                <w:sz w:val="20"/>
                <w:szCs w:val="20"/>
              </w:rPr>
              <w:t>,</w:t>
            </w:r>
            <w:r w:rsidRPr="008B5D78">
              <w:rPr>
                <w:sz w:val="20"/>
                <w:szCs w:val="20"/>
              </w:rPr>
              <w:t xml:space="preserve"> wzrost funduszu wynagrodzeń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w Ministerstwie Zdrowia (dalej MZ) na przestrzeni lat 2021-2024 był na poziomie196,4%, a liczba etatów w Centrum e-Zdrowia (dalej CeZ) wzrosła o liczbę 65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etatów, realizacji nowych zadań należy szukać w pierwszej kolejności wśród</w:t>
            </w:r>
            <w:r w:rsidR="005C0B5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posiadanych zasobów kadrowych.</w:t>
            </w:r>
            <w:r w:rsidR="00A101FE" w:rsidRPr="008B5D78">
              <w:rPr>
                <w:sz w:val="20"/>
                <w:szCs w:val="20"/>
              </w:rPr>
              <w:t xml:space="preserve"> </w:t>
            </w:r>
          </w:p>
          <w:p w14:paraId="061FBE14" w14:textId="77777777" w:rsidR="001C37BC" w:rsidRPr="008B5D78" w:rsidRDefault="001C37BC" w:rsidP="001C37BC">
            <w:pPr>
              <w:rPr>
                <w:i/>
                <w:iCs/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 xml:space="preserve">Z wyjaśnień projektodawcy wynika, że </w:t>
            </w:r>
            <w:r w:rsidRPr="008B5D78">
              <w:rPr>
                <w:i/>
                <w:iCs/>
                <w:sz w:val="20"/>
                <w:szCs w:val="20"/>
              </w:rPr>
              <w:t>„Przyznane dla CeZ 65 etatów dotyczyło:</w:t>
            </w:r>
          </w:p>
          <w:p w14:paraId="0ACBA93C" w14:textId="77777777" w:rsidR="001C37BC" w:rsidRPr="008B5D78" w:rsidRDefault="001C37BC" w:rsidP="001C37BC">
            <w:pPr>
              <w:rPr>
                <w:i/>
                <w:iCs/>
                <w:sz w:val="20"/>
                <w:szCs w:val="20"/>
              </w:rPr>
            </w:pPr>
            <w:r w:rsidRPr="008B5D78">
              <w:rPr>
                <w:i/>
                <w:iCs/>
                <w:sz w:val="20"/>
                <w:szCs w:val="20"/>
              </w:rPr>
              <w:t>1. 15 etatów – Sektorowy Zespół Reagowania na incydenty Cyberbezpieczeństwa,</w:t>
            </w:r>
          </w:p>
          <w:p w14:paraId="17FF40B0" w14:textId="4AA20E2A" w:rsidR="001C37BC" w:rsidRPr="008B5D78" w:rsidRDefault="001C37BC" w:rsidP="001C37BC">
            <w:pPr>
              <w:rPr>
                <w:i/>
                <w:iCs/>
                <w:sz w:val="20"/>
                <w:szCs w:val="20"/>
              </w:rPr>
            </w:pPr>
            <w:r w:rsidRPr="008B5D78">
              <w:rPr>
                <w:i/>
                <w:iCs/>
                <w:sz w:val="20"/>
                <w:szCs w:val="20"/>
              </w:rPr>
              <w:t>2. 50 etatów – etaty niezbędne do utrzymania priorytetowych systemów CeZ/MZ,</w:t>
            </w:r>
            <w:r w:rsidR="00A101FE" w:rsidRPr="008B5D78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>kierownicy projektów, architekci, programiści.”</w:t>
            </w:r>
          </w:p>
          <w:p w14:paraId="4C8D6C69" w14:textId="3F453CF2" w:rsidR="001C37BC" w:rsidRPr="008B5D78" w:rsidRDefault="001C37BC" w:rsidP="001C37BC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W związku z powyższym należy ponownie przeanalizować pracochłonność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wdrażanego projektu oraz przedstawić wyniki tej analizy. W ocenie Ministra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Finansów przy ponownej analizie pod uwagę należy wziąć również fakt, że obecnie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trwa program pilotażowy dotyczący centralnej e – rejestracji działający jako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program ogólnopolski (na podstawie rozporządzenia MZ z 6 sierpnia 2024 r. Dz.U.</w:t>
            </w:r>
            <w:r w:rsid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poz.1212). Szczególnie pod uwagę należy wziąć możliwość wykorzystania zasobów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kadrowych obsługujących obecnie trwający program. Należy również wskazać, czy</w:t>
            </w:r>
            <w:r w:rsidR="00A101FE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 xml:space="preserve">zadania związane z projektem, takie jak </w:t>
            </w:r>
            <w:r w:rsidRPr="008B5D78">
              <w:rPr>
                <w:i/>
                <w:iCs/>
                <w:sz w:val="20"/>
                <w:szCs w:val="20"/>
              </w:rPr>
              <w:t>Budowa i rozwój systemu, Wsparcie</w:t>
            </w:r>
            <w:r w:rsidR="00A101FE" w:rsidRPr="008B5D78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>wdrożeniowe w placówkach medycznych, Obsługa skarg i wniosków, Utrzymanie</w:t>
            </w:r>
            <w:r w:rsidR="00A101FE" w:rsidRPr="008B5D78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 xml:space="preserve">systemu </w:t>
            </w:r>
            <w:r w:rsidRPr="008B5D78">
              <w:rPr>
                <w:sz w:val="20"/>
                <w:szCs w:val="20"/>
              </w:rPr>
              <w:t>nie mogą zostać zrealizowane w ramach ww. 65 nowych etatów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 xml:space="preserve">przyznanych w 2024 r. W przypadku zakresu obowiązków ww. </w:t>
            </w:r>
            <w:r w:rsidRPr="008B5D78">
              <w:rPr>
                <w:sz w:val="20"/>
                <w:szCs w:val="20"/>
              </w:rPr>
              <w:lastRenderedPageBreak/>
              <w:t>etatów wskazano</w:t>
            </w:r>
            <w:r w:rsidR="00AA5893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m.in. utrzymanie systemów, reagowanie na incydent Cyberbezpieczeństwa, a jako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pracowników wskazano projektantów, architektów i programistów. Pojawia się</w:t>
            </w:r>
            <w:r w:rsidR="00AA5893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ponownie wątpliwość czy nowo projektowane zadania nie mogą zostać</w:t>
            </w:r>
            <w:r w:rsidR="008B5D78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zrealizowane w ramach posiadanych już zasobów pracowniczych.</w:t>
            </w:r>
          </w:p>
          <w:p w14:paraId="52707C7E" w14:textId="18C0A4ED" w:rsidR="002436FA" w:rsidRPr="008B5D78" w:rsidRDefault="001C37BC" w:rsidP="006501F8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W ślad za powyższym, przedstawiając kalkulację dla nowych etatów konieczne jest</w:t>
            </w:r>
            <w:r w:rsidR="008B5D78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dokonanie w pierwszej kolejności analizy wykorzystania już posiadanych zasobów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kadrowych. W pierwszej kolejności oznacza to w efekcie konieczność realizowania</w:t>
            </w:r>
            <w:r w:rsidR="008B5D78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dodatkowych zadań w ramach posiadanych zasobów kadrowych, ewentualnie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dokonania stosownych przesunięć pracowników tudzież ograniczania nowych</w:t>
            </w:r>
            <w:r w:rsidR="008B5D78" w:rsidRPr="008B5D7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wydatków w sytuacji, gdy nie ma bezwzględnej konieczności ich poniesienia.</w:t>
            </w:r>
          </w:p>
        </w:tc>
        <w:tc>
          <w:tcPr>
            <w:tcW w:w="5959" w:type="dxa"/>
          </w:tcPr>
          <w:p w14:paraId="1CB05D45" w14:textId="4D42F3BC" w:rsidR="003F004E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lastRenderedPageBreak/>
              <w:t>Ustawa wprowadza nowe rozwiązanie</w:t>
            </w:r>
            <w:r w:rsidR="00046512">
              <w:rPr>
                <w:sz w:val="20"/>
                <w:szCs w:val="20"/>
              </w:rPr>
              <w:t xml:space="preserve"> w obszarze e-zdrowia (nową centralną e-usługę)</w:t>
            </w:r>
            <w:r w:rsidR="001962BF">
              <w:rPr>
                <w:sz w:val="20"/>
                <w:szCs w:val="20"/>
              </w:rPr>
              <w:t>,</w:t>
            </w:r>
            <w:r w:rsidRPr="00E069B9">
              <w:rPr>
                <w:sz w:val="20"/>
                <w:szCs w:val="20"/>
              </w:rPr>
              <w:t xml:space="preserve"> które </w:t>
            </w:r>
            <w:r w:rsidR="00046512">
              <w:rPr>
                <w:sz w:val="20"/>
                <w:szCs w:val="20"/>
              </w:rPr>
              <w:t>jest</w:t>
            </w:r>
            <w:r w:rsidRPr="00E069B9">
              <w:rPr>
                <w:sz w:val="20"/>
                <w:szCs w:val="20"/>
              </w:rPr>
              <w:t xml:space="preserve"> adresowane do wszystkich obywateli. </w:t>
            </w:r>
          </w:p>
          <w:p w14:paraId="1C8D42A6" w14:textId="61224A3B" w:rsidR="00046512" w:rsidRDefault="00046512" w:rsidP="00046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Dokonując oceny zasadności zwiększenia zasobów osobowych po stronie MZ i CeZ należy wziąć pod uwagę</w:t>
            </w:r>
            <w:r w:rsidRPr="00E069B9">
              <w:rPr>
                <w:sz w:val="20"/>
                <w:szCs w:val="20"/>
              </w:rPr>
              <w:t xml:space="preserve"> skalę zadania</w:t>
            </w:r>
            <w:r>
              <w:rPr>
                <w:sz w:val="20"/>
                <w:szCs w:val="20"/>
              </w:rPr>
              <w:t xml:space="preserve"> jakim jest wdrożenie centralnej elektronicznej rejestracji we wszystkich podmiotach, we wszystkich zakresach świadczeń udzielanych w trybie ambulatoryjnych.</w:t>
            </w:r>
            <w:r w:rsidRPr="00E069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E069B9">
              <w:rPr>
                <w:sz w:val="20"/>
                <w:szCs w:val="20"/>
              </w:rPr>
              <w:t>ylko świadczenia z zakresu kardiologii to 10 mln wizyt i ponad 1 tyś. placówek realizujących. Perspektywy wynikające z ustawy (kolejne zakresy świadczeń medycznych, liczba placówek i następne miliony pacjentów) i krytyczność procesów (konsekwencje niepoprawnego działania)</w:t>
            </w:r>
            <w:r w:rsidR="005902C6">
              <w:rPr>
                <w:sz w:val="20"/>
                <w:szCs w:val="20"/>
              </w:rPr>
              <w:t>, powodują, że w</w:t>
            </w:r>
            <w:r w:rsidRPr="00E069B9">
              <w:rPr>
                <w:sz w:val="20"/>
                <w:szCs w:val="20"/>
              </w:rPr>
              <w:t xml:space="preserve">nioskowane 30 etatów przy wyzwaniu oraz oczekiwaniach </w:t>
            </w:r>
            <w:r w:rsidR="005902C6">
              <w:rPr>
                <w:sz w:val="20"/>
                <w:szCs w:val="20"/>
              </w:rPr>
              <w:t>nie są wystarczające. Ministerstwo Zdrowia już w poprzednich odpowiedziach informowało, że przy realizacji zadań związanych z wdrożeniem centralnej elektronicznej rejestracji będzie wykorzystywało już posiadane zasoby. Nie są one jednak wystarczające na taką skalę tego zadzania.</w:t>
            </w:r>
            <w:r w:rsidRPr="00E069B9">
              <w:rPr>
                <w:sz w:val="20"/>
                <w:szCs w:val="20"/>
              </w:rPr>
              <w:t>.</w:t>
            </w:r>
          </w:p>
          <w:p w14:paraId="7242A6F4" w14:textId="77777777" w:rsidR="00046512" w:rsidRDefault="00046512" w:rsidP="00046512">
            <w:pPr>
              <w:rPr>
                <w:sz w:val="20"/>
                <w:szCs w:val="20"/>
              </w:rPr>
            </w:pPr>
          </w:p>
          <w:p w14:paraId="20454462" w14:textId="1C803F9C" w:rsidR="00046512" w:rsidRPr="00EC7642" w:rsidRDefault="00046512" w:rsidP="00046512">
            <w:pPr>
              <w:rPr>
                <w:sz w:val="20"/>
                <w:szCs w:val="20"/>
              </w:rPr>
            </w:pPr>
            <w:r w:rsidRPr="00EC7642">
              <w:rPr>
                <w:sz w:val="20"/>
                <w:szCs w:val="20"/>
              </w:rPr>
              <w:t>Mając na uwadze wagę rozwiązania oraz liczb</w:t>
            </w:r>
            <w:r>
              <w:rPr>
                <w:sz w:val="20"/>
                <w:szCs w:val="20"/>
              </w:rPr>
              <w:t>ę</w:t>
            </w:r>
            <w:r w:rsidRPr="00EC7642">
              <w:rPr>
                <w:sz w:val="20"/>
                <w:szCs w:val="20"/>
              </w:rPr>
              <w:t xml:space="preserve"> podmiotów, na  które będzie ono miało skutek</w:t>
            </w:r>
            <w:r w:rsidR="005902C6">
              <w:rPr>
                <w:sz w:val="20"/>
                <w:szCs w:val="20"/>
              </w:rPr>
              <w:t xml:space="preserve"> oraz liczbę użytkowników (docelowo kilkadziesiąt milionów Polakó</w:t>
            </w:r>
            <w:r w:rsidR="00A52A01">
              <w:rPr>
                <w:sz w:val="20"/>
                <w:szCs w:val="20"/>
              </w:rPr>
              <w:t>w)</w:t>
            </w:r>
            <w:r w:rsidRPr="00EC7642">
              <w:rPr>
                <w:sz w:val="20"/>
                <w:szCs w:val="20"/>
              </w:rPr>
              <w:t xml:space="preserve">, nie jest możliwa  rezygnacja </w:t>
            </w:r>
            <w:r w:rsidR="00A52A01">
              <w:rPr>
                <w:sz w:val="20"/>
                <w:szCs w:val="20"/>
              </w:rPr>
              <w:t>z wnioskowanej liczby etatów</w:t>
            </w:r>
            <w:r>
              <w:rPr>
                <w:sz w:val="20"/>
                <w:szCs w:val="20"/>
              </w:rPr>
              <w:t>.</w:t>
            </w:r>
            <w:r w:rsidR="00A52A01"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Minister Zdrowia nie ma bowiem możliwości samodzielnego</w:t>
            </w:r>
            <w:r w:rsidR="00A52A01"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zwiększania (kreowania) limitu środków na wynagrodzenia.</w:t>
            </w:r>
            <w:r w:rsidR="00A52A01">
              <w:rPr>
                <w:sz w:val="20"/>
                <w:szCs w:val="20"/>
              </w:rPr>
              <w:t xml:space="preserve"> </w:t>
            </w:r>
          </w:p>
          <w:p w14:paraId="6553FC34" w14:textId="77777777" w:rsidR="00A52A01" w:rsidRDefault="00A52A01" w:rsidP="00046512">
            <w:pPr>
              <w:rPr>
                <w:sz w:val="20"/>
                <w:szCs w:val="20"/>
              </w:rPr>
            </w:pPr>
          </w:p>
          <w:p w14:paraId="76787F54" w14:textId="77777777" w:rsidR="00A52A01" w:rsidRDefault="00A52A01" w:rsidP="00046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Zatem, biorą pod uwagę powyższe, a w szczególności</w:t>
            </w:r>
            <w:r w:rsidR="00046512" w:rsidRPr="00EC7642">
              <w:rPr>
                <w:sz w:val="20"/>
                <w:szCs w:val="20"/>
              </w:rPr>
              <w:t xml:space="preserve"> skalę nowego systemu </w:t>
            </w:r>
            <w:r>
              <w:rPr>
                <w:sz w:val="20"/>
                <w:szCs w:val="20"/>
              </w:rPr>
              <w:t>wdrożenia</w:t>
            </w:r>
            <w:r w:rsidR="00046512" w:rsidRPr="00EC7642">
              <w:rPr>
                <w:sz w:val="20"/>
                <w:szCs w:val="20"/>
              </w:rPr>
              <w:t xml:space="preserve"> centralnej elektronicznej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rejestracji, w tym konieczność podłączenia docelowego do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systemu wielu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tysięcy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podmiotów wykonujących działalność leczniczą, konieczność zapewnienia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cyberbezpieczeństwa tego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systemu, zapewnienia przez system usług e-rejestracji,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które do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 xml:space="preserve">tej pory były </w:t>
            </w:r>
            <w:r w:rsidR="00046512" w:rsidRPr="00EC7642">
              <w:rPr>
                <w:sz w:val="20"/>
                <w:szCs w:val="20"/>
              </w:rPr>
              <w:lastRenderedPageBreak/>
              <w:t>samodzielnie wykonywane wyłącznie przez podmioty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wykonujące działalność leczniczą, istnieje potrzeba przyznania dodatkowych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etatów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na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największy</w:t>
            </w:r>
            <w:r w:rsidR="00046512">
              <w:rPr>
                <w:sz w:val="20"/>
                <w:szCs w:val="20"/>
              </w:rPr>
              <w:t xml:space="preserve"> </w:t>
            </w:r>
            <w:r w:rsidR="00046512" w:rsidRPr="00EC7642">
              <w:rPr>
                <w:sz w:val="20"/>
                <w:szCs w:val="20"/>
              </w:rPr>
              <w:t>ogólnopolski publiczny system centralnej elektronicznej rejestracji.</w:t>
            </w:r>
            <w:r w:rsidR="00046512">
              <w:rPr>
                <w:sz w:val="20"/>
                <w:szCs w:val="20"/>
              </w:rPr>
              <w:t xml:space="preserve"> </w:t>
            </w:r>
          </w:p>
          <w:p w14:paraId="7C052EEE" w14:textId="77777777" w:rsidR="00A52A01" w:rsidRDefault="00A52A01" w:rsidP="00046512">
            <w:pPr>
              <w:rPr>
                <w:sz w:val="20"/>
                <w:szCs w:val="20"/>
              </w:rPr>
            </w:pPr>
          </w:p>
          <w:p w14:paraId="7C634A10" w14:textId="2207ED3E" w:rsidR="003F004E" w:rsidRDefault="00046512" w:rsidP="00046512">
            <w:pPr>
              <w:rPr>
                <w:sz w:val="20"/>
                <w:szCs w:val="20"/>
              </w:rPr>
            </w:pPr>
            <w:r w:rsidRPr="00EC7642">
              <w:rPr>
                <w:sz w:val="20"/>
                <w:szCs w:val="20"/>
              </w:rPr>
              <w:t>W ramach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realizowanych</w:t>
            </w:r>
            <w:r w:rsidR="00A52A01">
              <w:rPr>
                <w:sz w:val="20"/>
                <w:szCs w:val="20"/>
              </w:rPr>
              <w:t xml:space="preserve"> obecnie </w:t>
            </w:r>
            <w:r w:rsidRPr="00EC7642">
              <w:rPr>
                <w:sz w:val="20"/>
                <w:szCs w:val="20"/>
              </w:rPr>
              <w:t>działań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zabezpiecz</w:t>
            </w:r>
            <w:r w:rsidR="00A52A01">
              <w:rPr>
                <w:sz w:val="20"/>
                <w:szCs w:val="20"/>
              </w:rPr>
              <w:t>one</w:t>
            </w:r>
            <w:r w:rsidRPr="00EC7642">
              <w:rPr>
                <w:sz w:val="20"/>
                <w:szCs w:val="20"/>
              </w:rPr>
              <w:t xml:space="preserve"> są bezpośrednie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koszty zarządzania projektem centralnej elektronicznej rejestracji. Do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realizacji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działań w powyższych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obszarach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 xml:space="preserve">niezbędne jest </w:t>
            </w:r>
            <w:r w:rsidR="00A52A01">
              <w:rPr>
                <w:sz w:val="20"/>
                <w:szCs w:val="20"/>
              </w:rPr>
              <w:t xml:space="preserve">jednak </w:t>
            </w:r>
            <w:r w:rsidRPr="00EC7642">
              <w:rPr>
                <w:sz w:val="20"/>
                <w:szCs w:val="20"/>
              </w:rPr>
              <w:t>posiadanie przez CeZ wysoko</w:t>
            </w:r>
            <w:r>
              <w:rPr>
                <w:sz w:val="20"/>
                <w:szCs w:val="20"/>
              </w:rPr>
              <w:t xml:space="preserve"> w</w:t>
            </w:r>
            <w:r w:rsidRPr="00EC7642">
              <w:rPr>
                <w:sz w:val="20"/>
                <w:szCs w:val="20"/>
              </w:rPr>
              <w:t>ykwalifikowanych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specjalistów w ramach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etatów wykonujących merytoryczne</w:t>
            </w:r>
            <w:r>
              <w:rPr>
                <w:sz w:val="20"/>
                <w:szCs w:val="20"/>
              </w:rPr>
              <w:t xml:space="preserve"> </w:t>
            </w:r>
            <w:r w:rsidRPr="00EC7642">
              <w:rPr>
                <w:sz w:val="20"/>
                <w:szCs w:val="20"/>
              </w:rPr>
              <w:t>zadania związane z głównymi celami i produktami projektu</w:t>
            </w:r>
            <w:r>
              <w:rPr>
                <w:sz w:val="20"/>
                <w:szCs w:val="20"/>
              </w:rPr>
              <w:t>.</w:t>
            </w:r>
            <w:r w:rsidR="00A52A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Brak takiej możliwości stanowi istotne zagrożenie dla osiągnieci</w:t>
            </w:r>
            <w:r w:rsidR="00A52A0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celu projektu tj. wdrożenia centralnej elektronicznej rejestracji we wszystkich zakresach świadczeń ambulatoryjnych</w:t>
            </w:r>
          </w:p>
          <w:p w14:paraId="748E9055" w14:textId="77777777" w:rsidR="003F004E" w:rsidRDefault="003F004E" w:rsidP="00E069B9">
            <w:pPr>
              <w:rPr>
                <w:sz w:val="20"/>
                <w:szCs w:val="20"/>
              </w:rPr>
            </w:pPr>
          </w:p>
          <w:p w14:paraId="64A02168" w14:textId="0AEB00E9" w:rsidR="00E069B9" w:rsidRPr="00E069B9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Przyznane w ubiegłym roku etaty zostały zaangażowane do przedsięwzięć</w:t>
            </w:r>
            <w:r w:rsidR="00A70081">
              <w:rPr>
                <w:sz w:val="20"/>
                <w:szCs w:val="20"/>
              </w:rPr>
              <w:t>,</w:t>
            </w:r>
            <w:r w:rsidRPr="00E069B9">
              <w:rPr>
                <w:sz w:val="20"/>
                <w:szCs w:val="20"/>
              </w:rPr>
              <w:t xml:space="preserve"> dla których nie były zgłaszane koszty do OSR np.:</w:t>
            </w:r>
          </w:p>
          <w:p w14:paraId="6E2E83B2" w14:textId="77777777" w:rsidR="00E069B9" w:rsidRPr="00E069B9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•</w:t>
            </w:r>
            <w:r w:rsidRPr="00E069B9">
              <w:rPr>
                <w:sz w:val="20"/>
                <w:szCs w:val="20"/>
              </w:rPr>
              <w:tab/>
              <w:t>realizacja programu profilaktycznego Moje Zdrowie (dla wszystkich obywateli od 20 r.ż.)</w:t>
            </w:r>
          </w:p>
          <w:p w14:paraId="097F399B" w14:textId="77777777" w:rsidR="00E069B9" w:rsidRPr="00E069B9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•</w:t>
            </w:r>
            <w:r w:rsidRPr="00E069B9">
              <w:rPr>
                <w:sz w:val="20"/>
                <w:szCs w:val="20"/>
              </w:rPr>
              <w:tab/>
              <w:t>realizacji recept w różnych aptekach</w:t>
            </w:r>
          </w:p>
          <w:p w14:paraId="70D19F2F" w14:textId="77777777" w:rsidR="00E069B9" w:rsidRPr="00E069B9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•</w:t>
            </w:r>
            <w:r w:rsidRPr="00E069B9">
              <w:rPr>
                <w:sz w:val="20"/>
                <w:szCs w:val="20"/>
              </w:rPr>
              <w:tab/>
              <w:t>automatycznym określaniu poziomu refundacji</w:t>
            </w:r>
          </w:p>
          <w:p w14:paraId="34D4D0E6" w14:textId="3C171CF2" w:rsidR="00E069B9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•</w:t>
            </w:r>
            <w:r w:rsidRPr="00E069B9">
              <w:rPr>
                <w:sz w:val="20"/>
                <w:szCs w:val="20"/>
              </w:rPr>
              <w:tab/>
              <w:t xml:space="preserve">jednocześnie zwiększona liczba danych i użytkowników </w:t>
            </w:r>
            <w:r w:rsidR="006D3B51">
              <w:rPr>
                <w:sz w:val="20"/>
                <w:szCs w:val="20"/>
              </w:rPr>
              <w:t xml:space="preserve">które, </w:t>
            </w:r>
            <w:r w:rsidRPr="00E069B9">
              <w:rPr>
                <w:sz w:val="20"/>
                <w:szCs w:val="20"/>
              </w:rPr>
              <w:t>przekłada</w:t>
            </w:r>
            <w:r w:rsidR="006D3B51">
              <w:rPr>
                <w:sz w:val="20"/>
                <w:szCs w:val="20"/>
              </w:rPr>
              <w:t>ją</w:t>
            </w:r>
            <w:r w:rsidRPr="00E069B9">
              <w:rPr>
                <w:sz w:val="20"/>
                <w:szCs w:val="20"/>
              </w:rPr>
              <w:t xml:space="preserve"> się na dodatkowe zadania związane z utrzymaniem </w:t>
            </w:r>
            <w:r w:rsidR="006D3B51">
              <w:rPr>
                <w:sz w:val="20"/>
                <w:szCs w:val="20"/>
              </w:rPr>
              <w:t xml:space="preserve">tych rozwiązań </w:t>
            </w:r>
            <w:r w:rsidRPr="00E069B9">
              <w:rPr>
                <w:sz w:val="20"/>
                <w:szCs w:val="20"/>
              </w:rPr>
              <w:t>m.in. z administrowaniem dodatkowymi serwerami</w:t>
            </w:r>
            <w:r w:rsidR="00435C65">
              <w:rPr>
                <w:sz w:val="20"/>
                <w:szCs w:val="20"/>
              </w:rPr>
              <w:t>.</w:t>
            </w:r>
          </w:p>
          <w:p w14:paraId="4AD42789" w14:textId="77777777" w:rsidR="00E069B9" w:rsidRPr="00E069B9" w:rsidRDefault="00E069B9" w:rsidP="00E069B9">
            <w:pPr>
              <w:rPr>
                <w:sz w:val="20"/>
                <w:szCs w:val="20"/>
              </w:rPr>
            </w:pPr>
          </w:p>
          <w:p w14:paraId="56D094BB" w14:textId="77777777" w:rsidR="00FF7F92" w:rsidRPr="00E069B9" w:rsidRDefault="00FF7F92" w:rsidP="00FF7F92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Przyznanie wskazanej puli etatów spowodowało</w:t>
            </w:r>
          </w:p>
          <w:p w14:paraId="1AE6AC18" w14:textId="77777777" w:rsidR="00FF7F92" w:rsidRDefault="00FF7F92" w:rsidP="00FF7F92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 xml:space="preserve">zniwelowanie dysproporcji </w:t>
            </w:r>
            <w:r>
              <w:rPr>
                <w:sz w:val="20"/>
                <w:szCs w:val="20"/>
              </w:rPr>
              <w:t xml:space="preserve">zidentyfikowanej w roku 2024 w zakresie zadań wówczas realizowanych </w:t>
            </w:r>
            <w:r w:rsidRPr="00E069B9">
              <w:rPr>
                <w:sz w:val="20"/>
                <w:szCs w:val="20"/>
              </w:rPr>
              <w:t xml:space="preserve">oraz pozwoliło na realizację m.in. nowych zadań wymienionych powyżej. </w:t>
            </w:r>
          </w:p>
          <w:p w14:paraId="45B84525" w14:textId="77777777" w:rsidR="00FF7F92" w:rsidRPr="00E069B9" w:rsidRDefault="00FF7F92" w:rsidP="00FF7F92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>15 etatów na Sektorowy Zespół Reagowania na incydenty Cyberbezpieczeństwa to wydzielony zespół</w:t>
            </w:r>
            <w:r>
              <w:rPr>
                <w:sz w:val="20"/>
                <w:szCs w:val="20"/>
              </w:rPr>
              <w:t>,</w:t>
            </w:r>
            <w:r w:rsidRPr="00E069B9">
              <w:rPr>
                <w:sz w:val="20"/>
                <w:szCs w:val="20"/>
              </w:rPr>
              <w:t xml:space="preserve"> który realizuje tylko zadania CSIRT dla całego sektora ochrony zdrowia.</w:t>
            </w:r>
          </w:p>
          <w:p w14:paraId="2011FDED" w14:textId="77777777" w:rsidR="00FF7F92" w:rsidRPr="00E069B9" w:rsidRDefault="00FF7F92" w:rsidP="00FF7F92">
            <w:pPr>
              <w:rPr>
                <w:sz w:val="20"/>
                <w:szCs w:val="20"/>
              </w:rPr>
            </w:pPr>
          </w:p>
          <w:p w14:paraId="5FBAA865" w14:textId="41DC1A36" w:rsidR="00E069B9" w:rsidRPr="00E069B9" w:rsidRDefault="00E069B9" w:rsidP="00E069B9">
            <w:pPr>
              <w:rPr>
                <w:sz w:val="20"/>
                <w:szCs w:val="20"/>
              </w:rPr>
            </w:pPr>
            <w:r w:rsidRPr="00E069B9">
              <w:rPr>
                <w:sz w:val="20"/>
                <w:szCs w:val="20"/>
              </w:rPr>
              <w:t xml:space="preserve">Biorąc pod uwagę </w:t>
            </w:r>
            <w:r w:rsidR="006D3B51">
              <w:rPr>
                <w:sz w:val="20"/>
                <w:szCs w:val="20"/>
              </w:rPr>
              <w:t>liczbę</w:t>
            </w:r>
            <w:r w:rsidRPr="00E069B9">
              <w:rPr>
                <w:sz w:val="20"/>
                <w:szCs w:val="20"/>
              </w:rPr>
              <w:t xml:space="preserve"> etatów</w:t>
            </w:r>
            <w:r w:rsidR="006D3B51">
              <w:rPr>
                <w:sz w:val="20"/>
                <w:szCs w:val="20"/>
              </w:rPr>
              <w:t>,</w:t>
            </w:r>
            <w:r w:rsidRPr="00E069B9">
              <w:rPr>
                <w:sz w:val="20"/>
                <w:szCs w:val="20"/>
              </w:rPr>
              <w:t xml:space="preserve"> którymi </w:t>
            </w:r>
            <w:r w:rsidR="00FF7F92">
              <w:rPr>
                <w:sz w:val="20"/>
                <w:szCs w:val="20"/>
              </w:rPr>
              <w:t xml:space="preserve">obecnie </w:t>
            </w:r>
            <w:r w:rsidRPr="00E069B9">
              <w:rPr>
                <w:sz w:val="20"/>
                <w:szCs w:val="20"/>
              </w:rPr>
              <w:t>dyspon</w:t>
            </w:r>
            <w:r w:rsidR="00F40C32">
              <w:rPr>
                <w:sz w:val="20"/>
                <w:szCs w:val="20"/>
              </w:rPr>
              <w:t>uje</w:t>
            </w:r>
            <w:r w:rsidRPr="00E069B9">
              <w:rPr>
                <w:sz w:val="20"/>
                <w:szCs w:val="20"/>
              </w:rPr>
              <w:t xml:space="preserve"> C</w:t>
            </w:r>
            <w:r w:rsidR="00B92721">
              <w:rPr>
                <w:sz w:val="20"/>
                <w:szCs w:val="20"/>
              </w:rPr>
              <w:t>entrum e-</w:t>
            </w:r>
            <w:r w:rsidRPr="00E069B9">
              <w:rPr>
                <w:sz w:val="20"/>
                <w:szCs w:val="20"/>
              </w:rPr>
              <w:t>Z</w:t>
            </w:r>
            <w:r w:rsidR="00B92721">
              <w:rPr>
                <w:sz w:val="20"/>
                <w:szCs w:val="20"/>
              </w:rPr>
              <w:t>drowia</w:t>
            </w:r>
            <w:r w:rsidRPr="00E069B9">
              <w:rPr>
                <w:sz w:val="20"/>
                <w:szCs w:val="20"/>
              </w:rPr>
              <w:t xml:space="preserve"> (</w:t>
            </w:r>
            <w:r w:rsidR="00F40C32">
              <w:rPr>
                <w:sz w:val="20"/>
                <w:szCs w:val="20"/>
              </w:rPr>
              <w:t>po</w:t>
            </w:r>
            <w:r w:rsidRPr="00E069B9">
              <w:rPr>
                <w:sz w:val="20"/>
                <w:szCs w:val="20"/>
              </w:rPr>
              <w:t xml:space="preserve"> przyznani</w:t>
            </w:r>
            <w:r w:rsidR="00F40C32">
              <w:rPr>
                <w:sz w:val="20"/>
                <w:szCs w:val="20"/>
              </w:rPr>
              <w:t>u</w:t>
            </w:r>
            <w:r w:rsidRPr="00E069B9">
              <w:rPr>
                <w:sz w:val="20"/>
                <w:szCs w:val="20"/>
              </w:rPr>
              <w:t xml:space="preserve"> wskazanych 50 etatów) oraz </w:t>
            </w:r>
            <w:r w:rsidRPr="00E069B9">
              <w:rPr>
                <w:sz w:val="20"/>
                <w:szCs w:val="20"/>
              </w:rPr>
              <w:lastRenderedPageBreak/>
              <w:t xml:space="preserve">liczbę </w:t>
            </w:r>
            <w:r w:rsidR="00F40C32">
              <w:rPr>
                <w:sz w:val="20"/>
                <w:szCs w:val="20"/>
              </w:rPr>
              <w:t xml:space="preserve">obecnie </w:t>
            </w:r>
            <w:r w:rsidRPr="00E069B9">
              <w:rPr>
                <w:sz w:val="20"/>
                <w:szCs w:val="20"/>
              </w:rPr>
              <w:t xml:space="preserve">realizowanych zadań w jednostce dysproporcja (w </w:t>
            </w:r>
            <w:r w:rsidR="00F40C32">
              <w:rPr>
                <w:sz w:val="20"/>
                <w:szCs w:val="20"/>
              </w:rPr>
              <w:t>liczbie</w:t>
            </w:r>
            <w:r w:rsidRPr="00E069B9">
              <w:rPr>
                <w:sz w:val="20"/>
                <w:szCs w:val="20"/>
              </w:rPr>
              <w:t xml:space="preserve"> etatów vs </w:t>
            </w:r>
            <w:r w:rsidR="00F40C32">
              <w:rPr>
                <w:sz w:val="20"/>
                <w:szCs w:val="20"/>
              </w:rPr>
              <w:t>liczbie</w:t>
            </w:r>
            <w:r w:rsidRPr="00E069B9">
              <w:rPr>
                <w:sz w:val="20"/>
                <w:szCs w:val="20"/>
              </w:rPr>
              <w:t xml:space="preserve"> zadań) </w:t>
            </w:r>
            <w:r w:rsidR="00FF7F92">
              <w:rPr>
                <w:sz w:val="20"/>
                <w:szCs w:val="20"/>
              </w:rPr>
              <w:t>powoduje</w:t>
            </w:r>
            <w:r w:rsidR="00493E97">
              <w:rPr>
                <w:sz w:val="20"/>
                <w:szCs w:val="20"/>
              </w:rPr>
              <w:t xml:space="preserve"> duże ryzyko</w:t>
            </w:r>
            <w:r w:rsidRPr="00E069B9">
              <w:rPr>
                <w:sz w:val="20"/>
                <w:szCs w:val="20"/>
              </w:rPr>
              <w:t xml:space="preserve"> </w:t>
            </w:r>
            <w:r w:rsidR="00493E97">
              <w:rPr>
                <w:sz w:val="20"/>
                <w:szCs w:val="20"/>
              </w:rPr>
              <w:t>nie</w:t>
            </w:r>
            <w:r w:rsidRPr="00E069B9">
              <w:rPr>
                <w:sz w:val="20"/>
                <w:szCs w:val="20"/>
              </w:rPr>
              <w:t>terminowej realizacji</w:t>
            </w:r>
            <w:r w:rsidR="00435C65">
              <w:rPr>
                <w:sz w:val="20"/>
                <w:szCs w:val="20"/>
              </w:rPr>
              <w:t xml:space="preserve"> </w:t>
            </w:r>
            <w:r w:rsidR="001E0AA9">
              <w:rPr>
                <w:sz w:val="20"/>
                <w:szCs w:val="20"/>
              </w:rPr>
              <w:t xml:space="preserve">innych </w:t>
            </w:r>
            <w:r w:rsidR="00435C65">
              <w:rPr>
                <w:sz w:val="20"/>
                <w:szCs w:val="20"/>
              </w:rPr>
              <w:t xml:space="preserve">projektów np. centralnej elektronicznej rejestracji. </w:t>
            </w:r>
            <w:r w:rsidR="00FF7F92">
              <w:rPr>
                <w:sz w:val="20"/>
                <w:szCs w:val="20"/>
              </w:rPr>
              <w:t xml:space="preserve"> </w:t>
            </w:r>
          </w:p>
          <w:p w14:paraId="4064DB8B" w14:textId="04311E2B" w:rsidR="00C612B6" w:rsidRPr="008B5D78" w:rsidRDefault="00C612B6" w:rsidP="00FF7F92">
            <w:pPr>
              <w:rPr>
                <w:sz w:val="20"/>
                <w:szCs w:val="20"/>
              </w:rPr>
            </w:pPr>
          </w:p>
        </w:tc>
      </w:tr>
      <w:tr w:rsidR="006B1D4E" w:rsidRPr="008B5D78" w14:paraId="05C76E38" w14:textId="77777777" w:rsidTr="00986C6B">
        <w:tc>
          <w:tcPr>
            <w:tcW w:w="421" w:type="dxa"/>
          </w:tcPr>
          <w:p w14:paraId="775ACF4A" w14:textId="4BD420F2" w:rsidR="006B1D4E" w:rsidRPr="008B5D78" w:rsidRDefault="00A64FC8" w:rsidP="006B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B1D4E" w:rsidRPr="008B5D7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14:paraId="71CF3AF2" w14:textId="7FDD82AC" w:rsidR="006B1D4E" w:rsidRPr="008B5D78" w:rsidRDefault="006B1D4E" w:rsidP="006B1D4E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OSR</w:t>
            </w:r>
          </w:p>
        </w:tc>
        <w:tc>
          <w:tcPr>
            <w:tcW w:w="1701" w:type="dxa"/>
          </w:tcPr>
          <w:p w14:paraId="361559DD" w14:textId="48BE33B7" w:rsidR="006B1D4E" w:rsidRPr="008B5D78" w:rsidRDefault="006B1D4E" w:rsidP="006B1D4E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Minister Finansów</w:t>
            </w:r>
          </w:p>
        </w:tc>
        <w:tc>
          <w:tcPr>
            <w:tcW w:w="5812" w:type="dxa"/>
          </w:tcPr>
          <w:p w14:paraId="3AA501DB" w14:textId="50DECF86" w:rsidR="006B1D4E" w:rsidRPr="008B5D78" w:rsidRDefault="006B1D4E" w:rsidP="006B1D4E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Minister Finansów podtrzymuje uwagę odnośnie do proponowanego</w:t>
            </w:r>
            <w:r w:rsidR="00D41CC4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systemu zachęt w wysokości 10.000 zł płatnych przez NFZ za niezwłoczne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podłączenie do centralnej elektronicznej rejestracji według lokalizacji. W ocenie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Ministra Finansów powinno się skorygować projekt poprzez usunięcie systemu zachęt,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a w zamian rozważyć wprowadzenie np. przepisu określającego terminy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obowiązkowego przystąpienia świadczeniodawców do systemu, oraz ewentualne</w:t>
            </w:r>
            <w:r w:rsidR="006501F8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sankcje za brak dołączenia do systemu. Niezależnie od powyższego należy wyjaśnić,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dlaczego zaplanowano wypłatę zachęt włącznie do 2029 r. w kontekście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nieograniczenia tylko do jednorazowej wypłaty zachęty dla świadczeniodawców, bez</w:t>
            </w:r>
          </w:p>
          <w:p w14:paraId="1F05AC04" w14:textId="4EA89F3E" w:rsidR="006B1D4E" w:rsidRPr="008B5D78" w:rsidRDefault="006B1D4E" w:rsidP="006B1D4E">
            <w:pPr>
              <w:rPr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względu na dalsze stopniowe rozszerzanie zakresu świadczeń objętych centralną e</w:t>
            </w:r>
            <w:r w:rsidR="009371BB">
              <w:rPr>
                <w:sz w:val="20"/>
                <w:szCs w:val="20"/>
              </w:rPr>
              <w:t>-</w:t>
            </w:r>
            <w:r w:rsidRPr="008B5D78">
              <w:rPr>
                <w:sz w:val="20"/>
                <w:szCs w:val="20"/>
              </w:rPr>
              <w:t>rejestracją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i włączeniem do systemu kolejnych świadczeń przez świadczeniodawców.</w:t>
            </w:r>
          </w:p>
          <w:p w14:paraId="30A6DAC0" w14:textId="2A3A24B8" w:rsidR="006B1D4E" w:rsidRPr="008B5D78" w:rsidRDefault="006B1D4E" w:rsidP="006B1D4E">
            <w:pPr>
              <w:rPr>
                <w:i/>
                <w:iCs/>
                <w:sz w:val="20"/>
                <w:szCs w:val="20"/>
              </w:rPr>
            </w:pPr>
            <w:r w:rsidRPr="008B5D78">
              <w:rPr>
                <w:sz w:val="20"/>
                <w:szCs w:val="20"/>
              </w:rPr>
              <w:t>Zgodnie z wyjaśnieniami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Ministra Zdrowia „</w:t>
            </w:r>
            <w:r w:rsidRPr="008B5D78">
              <w:rPr>
                <w:i/>
                <w:iCs/>
                <w:sz w:val="20"/>
                <w:szCs w:val="20"/>
              </w:rPr>
              <w:t>Ministerstwo Zdrowia w projekcie ustawy będącej obecnie w trakcie</w:t>
            </w:r>
            <w:r w:rsidR="009371BB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>konsultacji publicznych i opiniowania, wprowadziło przepis nakładający na</w:t>
            </w:r>
            <w:r w:rsidR="009371BB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>świadczeniodawców obowiązek integracji z centralną elektroniczną rejestracją.</w:t>
            </w:r>
          </w:p>
          <w:p w14:paraId="6C25482D" w14:textId="7A019EF2" w:rsidR="006B1D4E" w:rsidRPr="008B5D78" w:rsidRDefault="006B1D4E" w:rsidP="001E13E0">
            <w:pPr>
              <w:rPr>
                <w:sz w:val="20"/>
                <w:szCs w:val="20"/>
              </w:rPr>
            </w:pPr>
            <w:r w:rsidRPr="008B5D78">
              <w:rPr>
                <w:i/>
                <w:iCs/>
                <w:sz w:val="20"/>
                <w:szCs w:val="20"/>
              </w:rPr>
              <w:t>Dodatkowo są prowadzone prace nad projektami aktów wykonawczych do projektu</w:t>
            </w:r>
            <w:r w:rsidR="009371BB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>ustawy, mające na celu uzależnienie płatności za świadczenie od realizacji obowiązku</w:t>
            </w:r>
            <w:r w:rsidR="009371BB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 xml:space="preserve">integracji z centralną elektroniczną rejestracją. </w:t>
            </w:r>
            <w:r w:rsidRPr="008B5D78">
              <w:rPr>
                <w:sz w:val="20"/>
                <w:szCs w:val="20"/>
              </w:rPr>
              <w:t>W ocenie Ministra Finansów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wymienione mechanizmy są wystarczające do osiągniecia założonego przez MZ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efektu tj</w:t>
            </w:r>
            <w:r w:rsidRPr="008B5D78">
              <w:rPr>
                <w:i/>
                <w:iCs/>
                <w:sz w:val="20"/>
                <w:szCs w:val="20"/>
              </w:rPr>
              <w:t>. „zapewnienia centralnej elektronicznej rejestracji priorytetowego traktowania</w:t>
            </w:r>
            <w:r w:rsidR="009371BB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>i jak najszybszego osiągnięcia celu w postaci 100% wizyt umawianych za pomocą</w:t>
            </w:r>
            <w:r w:rsidR="001E13E0">
              <w:rPr>
                <w:i/>
                <w:iCs/>
                <w:sz w:val="20"/>
                <w:szCs w:val="20"/>
              </w:rPr>
              <w:t xml:space="preserve"> </w:t>
            </w:r>
            <w:r w:rsidRPr="008B5D78">
              <w:rPr>
                <w:i/>
                <w:iCs/>
                <w:sz w:val="20"/>
                <w:szCs w:val="20"/>
              </w:rPr>
              <w:t xml:space="preserve">centralnej elektronicznej rejestracji” </w:t>
            </w:r>
            <w:r w:rsidRPr="008B5D78">
              <w:rPr>
                <w:sz w:val="20"/>
                <w:szCs w:val="20"/>
              </w:rPr>
              <w:t>w szczególności mając na uwadze wspomniane</w:t>
            </w:r>
            <w:r w:rsidR="009371BB">
              <w:rPr>
                <w:sz w:val="20"/>
                <w:szCs w:val="20"/>
              </w:rPr>
              <w:t xml:space="preserve"> </w:t>
            </w:r>
            <w:r w:rsidRPr="008B5D78">
              <w:rPr>
                <w:sz w:val="20"/>
                <w:szCs w:val="20"/>
              </w:rPr>
              <w:t>już zgłaszane dodatkowych potrzeby finansowe w ochronie zdrowia.</w:t>
            </w:r>
          </w:p>
        </w:tc>
        <w:tc>
          <w:tcPr>
            <w:tcW w:w="5959" w:type="dxa"/>
          </w:tcPr>
          <w:p w14:paraId="58CC7966" w14:textId="4FBA491B" w:rsidR="00315976" w:rsidRDefault="00EE0F68" w:rsidP="003B6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Ministerstwo Zdrowia podtrzymuje dotychczasowe uzasadnienie dla konieczności wprowadzenia systemu zachęt </w:t>
            </w:r>
            <w:r w:rsidR="00315976">
              <w:rPr>
                <w:sz w:val="20"/>
                <w:szCs w:val="20"/>
              </w:rPr>
              <w:t xml:space="preserve">w celu </w:t>
            </w:r>
            <w:r w:rsidR="004135F2">
              <w:rPr>
                <w:sz w:val="20"/>
                <w:szCs w:val="20"/>
              </w:rPr>
              <w:t>zapewnienia</w:t>
            </w:r>
            <w:r w:rsidR="00315976">
              <w:rPr>
                <w:sz w:val="20"/>
                <w:szCs w:val="20"/>
              </w:rPr>
              <w:t xml:space="preserve"> skutecznego wdrożenia centralnej elektronicznej rejestracji. </w:t>
            </w:r>
          </w:p>
          <w:p w14:paraId="41D5A3DC" w14:textId="77777777" w:rsidR="00715E0D" w:rsidRDefault="00715E0D" w:rsidP="003B6A95">
            <w:pPr>
              <w:rPr>
                <w:sz w:val="20"/>
                <w:szCs w:val="20"/>
              </w:rPr>
            </w:pPr>
          </w:p>
          <w:p w14:paraId="0B86076F" w14:textId="44477B6C" w:rsidR="004135F2" w:rsidRDefault="004135F2" w:rsidP="003B6A95">
            <w:pPr>
              <w:rPr>
                <w:sz w:val="20"/>
                <w:szCs w:val="20"/>
              </w:rPr>
            </w:pPr>
            <w:r w:rsidRPr="00D32402">
              <w:rPr>
                <w:b/>
                <w:bCs/>
                <w:sz w:val="20"/>
                <w:szCs w:val="20"/>
              </w:rPr>
              <w:t xml:space="preserve">W ocenie Ministra Zdrowia </w:t>
            </w:r>
            <w:r w:rsidR="002C07B5">
              <w:rPr>
                <w:b/>
                <w:bCs/>
                <w:sz w:val="20"/>
                <w:szCs w:val="20"/>
              </w:rPr>
              <w:t>inne</w:t>
            </w:r>
            <w:r w:rsidRPr="00D32402">
              <w:rPr>
                <w:b/>
                <w:bCs/>
                <w:sz w:val="20"/>
                <w:szCs w:val="20"/>
              </w:rPr>
              <w:t xml:space="preserve"> mechanizmy</w:t>
            </w:r>
            <w:r w:rsidR="00AA23E1">
              <w:rPr>
                <w:b/>
                <w:bCs/>
                <w:sz w:val="20"/>
                <w:szCs w:val="20"/>
              </w:rPr>
              <w:t xml:space="preserve">, np. </w:t>
            </w:r>
            <w:r w:rsidR="00135B56">
              <w:rPr>
                <w:b/>
                <w:bCs/>
                <w:sz w:val="20"/>
                <w:szCs w:val="20"/>
              </w:rPr>
              <w:t>nałożenie obowiązku oraz kar finansowych,</w:t>
            </w:r>
            <w:r w:rsidRPr="00D32402">
              <w:rPr>
                <w:b/>
                <w:bCs/>
                <w:sz w:val="20"/>
                <w:szCs w:val="20"/>
              </w:rPr>
              <w:t xml:space="preserve"> </w:t>
            </w:r>
            <w:r w:rsidR="00D32402" w:rsidRPr="00D32402">
              <w:rPr>
                <w:b/>
                <w:bCs/>
                <w:sz w:val="20"/>
                <w:szCs w:val="20"/>
              </w:rPr>
              <w:t xml:space="preserve">nie </w:t>
            </w:r>
            <w:r w:rsidRPr="00D32402">
              <w:rPr>
                <w:b/>
                <w:bCs/>
                <w:sz w:val="20"/>
                <w:szCs w:val="20"/>
              </w:rPr>
              <w:t>są wystarczające do osiągniecia założonego przez MZ efektu tj. „zapewnienia centralnej elektronicznej rejestracji priorytetowego traktowania i jak najszybszego osiągnięcia celu w postaci 100% wizyt umawianych za pomocą centralnej elektronicznej rejestracji”</w:t>
            </w:r>
            <w:r w:rsidRPr="004135F2">
              <w:rPr>
                <w:sz w:val="20"/>
                <w:szCs w:val="20"/>
              </w:rPr>
              <w:t>.</w:t>
            </w:r>
          </w:p>
          <w:p w14:paraId="776CC1EA" w14:textId="77777777" w:rsidR="00D32402" w:rsidRDefault="00D32402" w:rsidP="003B6A95">
            <w:pPr>
              <w:rPr>
                <w:sz w:val="20"/>
                <w:szCs w:val="20"/>
              </w:rPr>
            </w:pPr>
          </w:p>
          <w:p w14:paraId="6761BA98" w14:textId="55B37D9C" w:rsidR="003B6A95" w:rsidRP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Wdrożenie centralnej elektronicznej rejestracji to długotrwały i trudny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proces,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wymagający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ogromnego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nakładu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pracy zarówno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po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stronie Ministerstwa Zdrowia,</w:t>
            </w:r>
            <w:r w:rsidR="0031597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Centrum e-Zdrowia, Narodowego Funduszu Zdrowia jak i świadczeniodawców. Każdy</w:t>
            </w:r>
            <w:r w:rsidR="00026E00">
              <w:rPr>
                <w:sz w:val="20"/>
                <w:szCs w:val="20"/>
              </w:rPr>
              <w:t xml:space="preserve"> </w:t>
            </w:r>
          </w:p>
          <w:p w14:paraId="5BA29936" w14:textId="122FA689" w:rsid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świadczeniodawca musi ponieść koszty dostosowania swoich</w:t>
            </w:r>
            <w:r w:rsidR="00F7735B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systemów oraz</w:t>
            </w:r>
            <w:r w:rsidR="00F7735B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organizacji pracy do wymogów centralnej elektronicznej rejestracji</w:t>
            </w:r>
            <w:r w:rsidR="00F7735B">
              <w:rPr>
                <w:sz w:val="20"/>
                <w:szCs w:val="20"/>
              </w:rPr>
              <w:t xml:space="preserve">, często również dokonania </w:t>
            </w:r>
            <w:r w:rsidR="001203C6">
              <w:rPr>
                <w:sz w:val="20"/>
                <w:szCs w:val="20"/>
              </w:rPr>
              <w:t>dodatkowych zakupów sprzętowych.</w:t>
            </w:r>
          </w:p>
          <w:p w14:paraId="362F7ED7" w14:textId="77777777" w:rsidR="00692B04" w:rsidRPr="003B6A95" w:rsidRDefault="00692B04" w:rsidP="003B6A95">
            <w:pPr>
              <w:rPr>
                <w:sz w:val="20"/>
                <w:szCs w:val="20"/>
              </w:rPr>
            </w:pPr>
          </w:p>
          <w:p w14:paraId="45D21822" w14:textId="6B098F68" w:rsidR="003B6A95" w:rsidRP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Ministerstwo Zdrowia w projekcie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ustawy będącej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obecnie w trakcie konsultacji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publicznych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i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 xml:space="preserve">opiniowania, </w:t>
            </w:r>
            <w:r w:rsidR="001203C6">
              <w:rPr>
                <w:sz w:val="20"/>
                <w:szCs w:val="20"/>
              </w:rPr>
              <w:t xml:space="preserve">już </w:t>
            </w:r>
            <w:r w:rsidRPr="003B6A95">
              <w:rPr>
                <w:sz w:val="20"/>
                <w:szCs w:val="20"/>
              </w:rPr>
              <w:t>wprowadziło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przepis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nakładający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 świadczeniodawców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obowiązek integracji z centralną elektroniczną rejestracją. Dodatkowo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są prowadzone</w:t>
            </w:r>
          </w:p>
          <w:p w14:paraId="38186F42" w14:textId="48ED317F" w:rsidR="003B6A95" w:rsidRPr="003B6A95" w:rsidRDefault="00F64CF4" w:rsidP="003B6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B6A95" w:rsidRPr="003B6A95">
              <w:rPr>
                <w:sz w:val="20"/>
                <w:szCs w:val="20"/>
              </w:rPr>
              <w:t>race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nad projektami aktów wykonawczych do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projektu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ustawy, mające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na celu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uzależnienie płatności za świadczenie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od realizacji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obowiązku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integracji z centralną</w:t>
            </w:r>
            <w:r w:rsidR="001203C6">
              <w:rPr>
                <w:sz w:val="20"/>
                <w:szCs w:val="20"/>
              </w:rPr>
              <w:t xml:space="preserve"> </w:t>
            </w:r>
            <w:r w:rsidR="003B6A95" w:rsidRPr="003B6A95">
              <w:rPr>
                <w:sz w:val="20"/>
                <w:szCs w:val="20"/>
              </w:rPr>
              <w:t>elektroniczną rejestracją.</w:t>
            </w:r>
          </w:p>
          <w:p w14:paraId="1B8DFB5A" w14:textId="1885C516" w:rsidR="003B6A95" w:rsidRP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Mając</w:t>
            </w:r>
            <w:r w:rsidR="001203C6">
              <w:rPr>
                <w:sz w:val="20"/>
                <w:szCs w:val="20"/>
              </w:rPr>
              <w:t xml:space="preserve"> </w:t>
            </w:r>
            <w:r w:rsidR="007F0175">
              <w:rPr>
                <w:sz w:val="20"/>
                <w:szCs w:val="20"/>
              </w:rPr>
              <w:t xml:space="preserve">jednak </w:t>
            </w:r>
            <w:r w:rsidRPr="003B6A95">
              <w:rPr>
                <w:sz w:val="20"/>
                <w:szCs w:val="20"/>
              </w:rPr>
              <w:t>na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uwadze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obciążenie świadczeniodawców związane z integracją ich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systemów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informatycznych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oraz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 xml:space="preserve">organizacji pracy z </w:t>
            </w:r>
            <w:r w:rsidRPr="003B6A95">
              <w:rPr>
                <w:sz w:val="20"/>
                <w:szCs w:val="20"/>
              </w:rPr>
              <w:lastRenderedPageBreak/>
              <w:t>centralną elektroniczną rejestracją, a także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trudności we wprowadzaniu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nowych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rozwiązań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z zakresu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e-zdrowia, w opinii</w:t>
            </w:r>
          </w:p>
          <w:p w14:paraId="03064840" w14:textId="03BF4341" w:rsidR="003B6A95" w:rsidRP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Ministerstwa Zdrowia jest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niezbędne zapewnienie dodatkowych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zachęt w celu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zapewnienia centralnej elektronicznej rejestracji priorytetowego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traktowania i jak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najszybszego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osiągnięcia celu w</w:t>
            </w:r>
          </w:p>
          <w:p w14:paraId="230E805D" w14:textId="6835BC52" w:rsidR="003B6A95" w:rsidRP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postaci 100% wizyt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umawianych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za pomocą centralnej elektronicznej rejestracji.</w:t>
            </w:r>
          </w:p>
          <w:p w14:paraId="72184695" w14:textId="533BF0ED" w:rsidR="003B6A95" w:rsidRPr="003B6A95" w:rsidRDefault="003B6A95" w:rsidP="003B6A95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Minister Zdrowia podtrzymuje swoje stanowisko w zakresie potrzeby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utrzymania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systemu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zachęt, jako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rozwiązania mającego wpłynąć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niezwłoczne podłączenie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świadczeniodawców do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centralnej elektronicznej rejestracji. Zapewnienie pełnej</w:t>
            </w:r>
          </w:p>
          <w:p w14:paraId="155F96DB" w14:textId="6D32C7C1" w:rsidR="003E3C94" w:rsidRPr="003E3C94" w:rsidRDefault="003B6A95" w:rsidP="003E3C94">
            <w:pPr>
              <w:rPr>
                <w:sz w:val="20"/>
                <w:szCs w:val="20"/>
              </w:rPr>
            </w:pPr>
            <w:r w:rsidRPr="003B6A95">
              <w:rPr>
                <w:sz w:val="20"/>
                <w:szCs w:val="20"/>
              </w:rPr>
              <w:t>adaptacji rozwiązań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centralnej elektronicznej rejestracji w zakresie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udostępniania i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prowadzenia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harmonogramów przyjęć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uzależnione jest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od szybkiego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i płynnego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wdrożenia tego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rozwiązania, każdorazowo w danym zakresie świadczeń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opieki</w:t>
            </w:r>
            <w:r w:rsidR="004135F2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zdrowotnej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udzielanych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przez wszystkich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świadczeniodawców realizujących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takie świadczenia. W sytuacji</w:t>
            </w:r>
            <w:r w:rsidR="001203C6">
              <w:rPr>
                <w:sz w:val="20"/>
                <w:szCs w:val="20"/>
              </w:rPr>
              <w:t xml:space="preserve"> </w:t>
            </w:r>
            <w:r w:rsidR="001203C6" w:rsidRPr="003B6A95">
              <w:rPr>
                <w:sz w:val="20"/>
                <w:szCs w:val="20"/>
              </w:rPr>
              <w:t>braku sprawnego</w:t>
            </w:r>
            <w:r w:rsidRPr="003B6A95">
              <w:rPr>
                <w:sz w:val="20"/>
                <w:szCs w:val="20"/>
              </w:rPr>
              <w:t xml:space="preserve"> wdrożenia centralnej elektronicznej rejestracji, pacjent będzie</w:t>
            </w:r>
            <w:r w:rsidR="004135F2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narażony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 skorzystanie z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niepełnego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katalogu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świadczeń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opieki zdrowotnej, do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 xml:space="preserve">których miałby dostęp w 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razie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niezwłocznego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przekazania przez świadczeniodawców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harmonogramów przyjęć do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centralnej elektronicznej rejestracji.</w:t>
            </w:r>
            <w:r w:rsidR="004135F2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System zachęt, polegający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na przekazaniu dodatkowych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środków finansowych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świadczeniodawcom, ma zapewnić środki konieczne do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niezwłocznego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rozwinięcia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oprogramowania systemowego wykorzystywanego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przez podmioty lecznicze,</w:t>
            </w:r>
            <w:r w:rsidR="001203C6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skutkiem czego będzie realizacja celów wdrażanego</w:t>
            </w:r>
            <w:r w:rsidR="001E13E0">
              <w:rPr>
                <w:sz w:val="20"/>
                <w:szCs w:val="20"/>
              </w:rPr>
              <w:t xml:space="preserve"> </w:t>
            </w:r>
            <w:r w:rsidRPr="003B6A95">
              <w:rPr>
                <w:sz w:val="20"/>
                <w:szCs w:val="20"/>
              </w:rPr>
              <w:t>rozwiązania. Jednocześnie</w:t>
            </w:r>
            <w:r w:rsidR="003E3C94">
              <w:rPr>
                <w:sz w:val="20"/>
                <w:szCs w:val="20"/>
              </w:rPr>
              <w:t xml:space="preserve"> </w:t>
            </w:r>
            <w:r w:rsidR="003E3C94" w:rsidRPr="003E3C94">
              <w:rPr>
                <w:sz w:val="20"/>
                <w:szCs w:val="20"/>
              </w:rPr>
              <w:t>podkreślić</w:t>
            </w:r>
            <w:r w:rsidR="001E13E0">
              <w:rPr>
                <w:sz w:val="20"/>
                <w:szCs w:val="20"/>
              </w:rPr>
              <w:t xml:space="preserve"> </w:t>
            </w:r>
            <w:r w:rsidR="003E3C94" w:rsidRPr="003E3C94">
              <w:rPr>
                <w:sz w:val="20"/>
                <w:szCs w:val="20"/>
              </w:rPr>
              <w:t>należy, że przepisy projektu</w:t>
            </w:r>
            <w:r w:rsidR="001E13E0">
              <w:rPr>
                <w:sz w:val="20"/>
                <w:szCs w:val="20"/>
              </w:rPr>
              <w:t xml:space="preserve"> </w:t>
            </w:r>
            <w:r w:rsidR="003E3C94" w:rsidRPr="003E3C94">
              <w:rPr>
                <w:sz w:val="20"/>
                <w:szCs w:val="20"/>
              </w:rPr>
              <w:t>ustawy przewidują termin wejścia w życie</w:t>
            </w:r>
            <w:r w:rsidR="001E13E0">
              <w:rPr>
                <w:sz w:val="20"/>
                <w:szCs w:val="20"/>
              </w:rPr>
              <w:t xml:space="preserve"> </w:t>
            </w:r>
            <w:r w:rsidR="003E3C94" w:rsidRPr="003E3C94">
              <w:rPr>
                <w:sz w:val="20"/>
                <w:szCs w:val="20"/>
              </w:rPr>
              <w:t>obowiązku</w:t>
            </w:r>
            <w:r w:rsidR="001E13E0">
              <w:rPr>
                <w:sz w:val="20"/>
                <w:szCs w:val="20"/>
              </w:rPr>
              <w:t xml:space="preserve"> </w:t>
            </w:r>
            <w:r w:rsidR="003E3C94" w:rsidRPr="003E3C94">
              <w:rPr>
                <w:sz w:val="20"/>
                <w:szCs w:val="20"/>
              </w:rPr>
              <w:t>przystąpienia świadczeniodawców do</w:t>
            </w:r>
            <w:r w:rsidR="001E13E0">
              <w:rPr>
                <w:sz w:val="20"/>
                <w:szCs w:val="20"/>
              </w:rPr>
              <w:t xml:space="preserve"> </w:t>
            </w:r>
            <w:r w:rsidR="003E3C94" w:rsidRPr="003E3C94">
              <w:rPr>
                <w:sz w:val="20"/>
                <w:szCs w:val="20"/>
              </w:rPr>
              <w:t>centralnej elektronicznej rejestracji.</w:t>
            </w:r>
          </w:p>
          <w:p w14:paraId="6D4EDED4" w14:textId="26465E1A" w:rsidR="006B1D4E" w:rsidRPr="008B5D78" w:rsidRDefault="003E3C94" w:rsidP="004B5544">
            <w:pPr>
              <w:rPr>
                <w:sz w:val="20"/>
                <w:szCs w:val="20"/>
              </w:rPr>
            </w:pPr>
            <w:r w:rsidRPr="003E3C94">
              <w:rPr>
                <w:sz w:val="20"/>
                <w:szCs w:val="20"/>
              </w:rPr>
              <w:t>Dotychczasowe doświadczenia z wdrażania regulacji z zakresu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e-zdrowia wskazują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na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potrzebę i znaczącą skuteczność działań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zapewniających dodatkowe finansowanie z</w:t>
            </w:r>
            <w:r w:rsidR="004B5544">
              <w:rPr>
                <w:sz w:val="20"/>
                <w:szCs w:val="20"/>
              </w:rPr>
              <w:t xml:space="preserve"> b</w:t>
            </w:r>
            <w:r w:rsidRPr="003E3C94">
              <w:rPr>
                <w:sz w:val="20"/>
                <w:szCs w:val="20"/>
              </w:rPr>
              <w:t>udżetu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państwa dla podmiotów leczniczych, co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pozostaje krytycznym elementem</w:t>
            </w:r>
            <w:r w:rsidR="001E13E0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sukcesu</w:t>
            </w:r>
            <w:r w:rsidR="00EE0F68">
              <w:rPr>
                <w:sz w:val="20"/>
                <w:szCs w:val="20"/>
              </w:rPr>
              <w:t xml:space="preserve"> </w:t>
            </w:r>
            <w:r w:rsidRPr="003E3C94">
              <w:rPr>
                <w:sz w:val="20"/>
                <w:szCs w:val="20"/>
              </w:rPr>
              <w:t>projektowanego</w:t>
            </w:r>
            <w:r w:rsidR="00EE0F68">
              <w:rPr>
                <w:sz w:val="20"/>
                <w:szCs w:val="20"/>
              </w:rPr>
              <w:t xml:space="preserve"> </w:t>
            </w:r>
            <w:r w:rsidR="00EE0F68" w:rsidRPr="00EE0F68">
              <w:rPr>
                <w:sz w:val="20"/>
                <w:szCs w:val="20"/>
              </w:rPr>
              <w:t>rozwiązania. Ponadto mechanizm zachęt zawnioskowała strona społeczna w ramach</w:t>
            </w:r>
            <w:r w:rsidR="001E13E0">
              <w:rPr>
                <w:sz w:val="20"/>
                <w:szCs w:val="20"/>
              </w:rPr>
              <w:t xml:space="preserve"> </w:t>
            </w:r>
            <w:r w:rsidR="00EE0F68" w:rsidRPr="00EE0F68">
              <w:rPr>
                <w:sz w:val="20"/>
                <w:szCs w:val="20"/>
              </w:rPr>
              <w:t>propozycji MZ-7-161.</w:t>
            </w:r>
          </w:p>
        </w:tc>
      </w:tr>
    </w:tbl>
    <w:p w14:paraId="5BF7E84B" w14:textId="77777777" w:rsidR="002165B1" w:rsidRPr="008B5D78" w:rsidRDefault="002165B1">
      <w:pPr>
        <w:rPr>
          <w:sz w:val="20"/>
          <w:szCs w:val="20"/>
        </w:rPr>
      </w:pPr>
    </w:p>
    <w:sectPr w:rsidR="002165B1" w:rsidRPr="008B5D78" w:rsidSect="00037C7E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67E81" w14:textId="77777777" w:rsidR="000960C0" w:rsidRDefault="000960C0" w:rsidP="002436FA">
      <w:pPr>
        <w:spacing w:after="0" w:line="240" w:lineRule="auto"/>
      </w:pPr>
      <w:r>
        <w:separator/>
      </w:r>
    </w:p>
  </w:endnote>
  <w:endnote w:type="continuationSeparator" w:id="0">
    <w:p w14:paraId="482F522B" w14:textId="77777777" w:rsidR="000960C0" w:rsidRDefault="000960C0" w:rsidP="002436FA">
      <w:pPr>
        <w:spacing w:after="0" w:line="240" w:lineRule="auto"/>
      </w:pPr>
      <w:r>
        <w:continuationSeparator/>
      </w:r>
    </w:p>
  </w:endnote>
  <w:endnote w:type="continuationNotice" w:id="1">
    <w:p w14:paraId="19951A4D" w14:textId="77777777" w:rsidR="000960C0" w:rsidRDefault="000960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87753" w14:textId="77777777" w:rsidR="000960C0" w:rsidRDefault="000960C0" w:rsidP="002436FA">
      <w:pPr>
        <w:spacing w:after="0" w:line="240" w:lineRule="auto"/>
      </w:pPr>
      <w:r>
        <w:separator/>
      </w:r>
    </w:p>
  </w:footnote>
  <w:footnote w:type="continuationSeparator" w:id="0">
    <w:p w14:paraId="32D47ACA" w14:textId="77777777" w:rsidR="000960C0" w:rsidRDefault="000960C0" w:rsidP="002436FA">
      <w:pPr>
        <w:spacing w:after="0" w:line="240" w:lineRule="auto"/>
      </w:pPr>
      <w:r>
        <w:continuationSeparator/>
      </w:r>
    </w:p>
  </w:footnote>
  <w:footnote w:type="continuationNotice" w:id="1">
    <w:p w14:paraId="29F80F25" w14:textId="77777777" w:rsidR="000960C0" w:rsidRDefault="000960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23C4F" w14:textId="5FE80AA1" w:rsidR="002436FA" w:rsidRDefault="002436FA">
    <w:pPr>
      <w:pStyle w:val="Nagwek"/>
    </w:pPr>
    <w:r>
      <w:t>Protokół rozbieżności do projektu ustawy o zmianie ustawy o świadczeniach opieki zdrowotnej finansowanych ze środków publicznych oraz niektórych innych ustaw (UD169)</w:t>
    </w:r>
  </w:p>
  <w:p w14:paraId="64BA98BC" w14:textId="77777777" w:rsidR="002436FA" w:rsidRDefault="00243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FA"/>
    <w:rsid w:val="000022FA"/>
    <w:rsid w:val="00011ADE"/>
    <w:rsid w:val="000161D8"/>
    <w:rsid w:val="00026E00"/>
    <w:rsid w:val="00037C7E"/>
    <w:rsid w:val="00046512"/>
    <w:rsid w:val="00055EE8"/>
    <w:rsid w:val="000665BC"/>
    <w:rsid w:val="000960C0"/>
    <w:rsid w:val="00097A45"/>
    <w:rsid w:val="000B0832"/>
    <w:rsid w:val="000B2E93"/>
    <w:rsid w:val="000C5444"/>
    <w:rsid w:val="000D5B6D"/>
    <w:rsid w:val="000F4B87"/>
    <w:rsid w:val="001203C6"/>
    <w:rsid w:val="001305A4"/>
    <w:rsid w:val="00135112"/>
    <w:rsid w:val="00135B56"/>
    <w:rsid w:val="001373FA"/>
    <w:rsid w:val="001424CC"/>
    <w:rsid w:val="00155A64"/>
    <w:rsid w:val="001962BF"/>
    <w:rsid w:val="001B153B"/>
    <w:rsid w:val="001B7C82"/>
    <w:rsid w:val="001C371E"/>
    <w:rsid w:val="001C37BC"/>
    <w:rsid w:val="001D2998"/>
    <w:rsid w:val="001E0AA9"/>
    <w:rsid w:val="001E0DF8"/>
    <w:rsid w:val="001E13E0"/>
    <w:rsid w:val="001E1D19"/>
    <w:rsid w:val="00211091"/>
    <w:rsid w:val="002165B1"/>
    <w:rsid w:val="0021758A"/>
    <w:rsid w:val="0023586E"/>
    <w:rsid w:val="00236F23"/>
    <w:rsid w:val="002436FA"/>
    <w:rsid w:val="00252E39"/>
    <w:rsid w:val="00261034"/>
    <w:rsid w:val="00262F4E"/>
    <w:rsid w:val="002C07B5"/>
    <w:rsid w:val="002C5A34"/>
    <w:rsid w:val="002D34D9"/>
    <w:rsid w:val="002F2F0F"/>
    <w:rsid w:val="00315976"/>
    <w:rsid w:val="0032798D"/>
    <w:rsid w:val="00343AFF"/>
    <w:rsid w:val="00351321"/>
    <w:rsid w:val="00361D15"/>
    <w:rsid w:val="003716F3"/>
    <w:rsid w:val="00390781"/>
    <w:rsid w:val="003B6A95"/>
    <w:rsid w:val="003D62EE"/>
    <w:rsid w:val="003E3C94"/>
    <w:rsid w:val="003E68EE"/>
    <w:rsid w:val="003F004E"/>
    <w:rsid w:val="003F5F5D"/>
    <w:rsid w:val="004135F2"/>
    <w:rsid w:val="00415872"/>
    <w:rsid w:val="004225DC"/>
    <w:rsid w:val="00435C65"/>
    <w:rsid w:val="00454431"/>
    <w:rsid w:val="00480846"/>
    <w:rsid w:val="00480CDA"/>
    <w:rsid w:val="00481EE3"/>
    <w:rsid w:val="00492D96"/>
    <w:rsid w:val="00493E97"/>
    <w:rsid w:val="004964F1"/>
    <w:rsid w:val="004A346D"/>
    <w:rsid w:val="004B13E4"/>
    <w:rsid w:val="004B4C0F"/>
    <w:rsid w:val="004B5544"/>
    <w:rsid w:val="004D02C0"/>
    <w:rsid w:val="004F48CD"/>
    <w:rsid w:val="00503782"/>
    <w:rsid w:val="005209EE"/>
    <w:rsid w:val="00532E20"/>
    <w:rsid w:val="0054079D"/>
    <w:rsid w:val="0056007B"/>
    <w:rsid w:val="0056636F"/>
    <w:rsid w:val="005720B2"/>
    <w:rsid w:val="00572229"/>
    <w:rsid w:val="00573B35"/>
    <w:rsid w:val="00573B58"/>
    <w:rsid w:val="00584D7D"/>
    <w:rsid w:val="00585937"/>
    <w:rsid w:val="005902C6"/>
    <w:rsid w:val="005C0B58"/>
    <w:rsid w:val="005E1FF8"/>
    <w:rsid w:val="005F216A"/>
    <w:rsid w:val="005F459E"/>
    <w:rsid w:val="0060755E"/>
    <w:rsid w:val="006173ED"/>
    <w:rsid w:val="0062782C"/>
    <w:rsid w:val="00635C24"/>
    <w:rsid w:val="00647206"/>
    <w:rsid w:val="006501F8"/>
    <w:rsid w:val="00662AD7"/>
    <w:rsid w:val="00666218"/>
    <w:rsid w:val="00674C72"/>
    <w:rsid w:val="00692B04"/>
    <w:rsid w:val="006B1D4E"/>
    <w:rsid w:val="006C3F07"/>
    <w:rsid w:val="006D3B51"/>
    <w:rsid w:val="006F2B3B"/>
    <w:rsid w:val="00715E0D"/>
    <w:rsid w:val="00734A2C"/>
    <w:rsid w:val="00741ED5"/>
    <w:rsid w:val="00772FDD"/>
    <w:rsid w:val="007B1C8A"/>
    <w:rsid w:val="007C086F"/>
    <w:rsid w:val="007E385D"/>
    <w:rsid w:val="007F0175"/>
    <w:rsid w:val="007F2528"/>
    <w:rsid w:val="007F621B"/>
    <w:rsid w:val="008009E3"/>
    <w:rsid w:val="008126CA"/>
    <w:rsid w:val="008329F2"/>
    <w:rsid w:val="0084355A"/>
    <w:rsid w:val="0084612C"/>
    <w:rsid w:val="00854E11"/>
    <w:rsid w:val="008915E7"/>
    <w:rsid w:val="00892F9B"/>
    <w:rsid w:val="008B5D78"/>
    <w:rsid w:val="008F3B4A"/>
    <w:rsid w:val="0090252E"/>
    <w:rsid w:val="00913704"/>
    <w:rsid w:val="00925A4D"/>
    <w:rsid w:val="009371BB"/>
    <w:rsid w:val="009458F0"/>
    <w:rsid w:val="00950707"/>
    <w:rsid w:val="009513E2"/>
    <w:rsid w:val="00960EE2"/>
    <w:rsid w:val="0096138B"/>
    <w:rsid w:val="0096432A"/>
    <w:rsid w:val="00986C6B"/>
    <w:rsid w:val="0099156F"/>
    <w:rsid w:val="009A4D99"/>
    <w:rsid w:val="009B451C"/>
    <w:rsid w:val="009C385F"/>
    <w:rsid w:val="00A01E49"/>
    <w:rsid w:val="00A101FE"/>
    <w:rsid w:val="00A3650A"/>
    <w:rsid w:val="00A52A01"/>
    <w:rsid w:val="00A54341"/>
    <w:rsid w:val="00A61B8D"/>
    <w:rsid w:val="00A64FC8"/>
    <w:rsid w:val="00A70081"/>
    <w:rsid w:val="00A71B1C"/>
    <w:rsid w:val="00A8666B"/>
    <w:rsid w:val="00AA2085"/>
    <w:rsid w:val="00AA23E1"/>
    <w:rsid w:val="00AA5893"/>
    <w:rsid w:val="00AB0160"/>
    <w:rsid w:val="00AD69A3"/>
    <w:rsid w:val="00AF08E2"/>
    <w:rsid w:val="00AF7646"/>
    <w:rsid w:val="00B667AB"/>
    <w:rsid w:val="00B92721"/>
    <w:rsid w:val="00B944A2"/>
    <w:rsid w:val="00BC4405"/>
    <w:rsid w:val="00BE5B74"/>
    <w:rsid w:val="00BF75DC"/>
    <w:rsid w:val="00C013F3"/>
    <w:rsid w:val="00C55CCF"/>
    <w:rsid w:val="00C612B6"/>
    <w:rsid w:val="00C6583E"/>
    <w:rsid w:val="00C729FE"/>
    <w:rsid w:val="00C72B0E"/>
    <w:rsid w:val="00C83155"/>
    <w:rsid w:val="00C84D45"/>
    <w:rsid w:val="00CE7B2A"/>
    <w:rsid w:val="00CF28A2"/>
    <w:rsid w:val="00D00C78"/>
    <w:rsid w:val="00D109A5"/>
    <w:rsid w:val="00D30A07"/>
    <w:rsid w:val="00D32402"/>
    <w:rsid w:val="00D41CC4"/>
    <w:rsid w:val="00D46DDE"/>
    <w:rsid w:val="00D52636"/>
    <w:rsid w:val="00D63A83"/>
    <w:rsid w:val="00D67BEB"/>
    <w:rsid w:val="00D74D40"/>
    <w:rsid w:val="00DA5E21"/>
    <w:rsid w:val="00DB0B46"/>
    <w:rsid w:val="00DC1EFC"/>
    <w:rsid w:val="00DC3866"/>
    <w:rsid w:val="00DF5712"/>
    <w:rsid w:val="00E069B9"/>
    <w:rsid w:val="00E479A4"/>
    <w:rsid w:val="00E5493A"/>
    <w:rsid w:val="00E67FF4"/>
    <w:rsid w:val="00E72CA2"/>
    <w:rsid w:val="00EA6136"/>
    <w:rsid w:val="00EC7642"/>
    <w:rsid w:val="00EE0F68"/>
    <w:rsid w:val="00F062D1"/>
    <w:rsid w:val="00F352AD"/>
    <w:rsid w:val="00F40C32"/>
    <w:rsid w:val="00F64CF4"/>
    <w:rsid w:val="00F7735B"/>
    <w:rsid w:val="00F87ACE"/>
    <w:rsid w:val="00FA7147"/>
    <w:rsid w:val="00FC2B05"/>
    <w:rsid w:val="00FF525F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7F7BF"/>
  <w15:chartTrackingRefBased/>
  <w15:docId w15:val="{D1BF6A52-0DFE-4C7E-B955-8212F70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3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3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36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36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36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36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36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36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36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36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36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36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36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36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36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36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36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36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36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3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36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36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36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36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36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36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36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36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36F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43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FA"/>
  </w:style>
  <w:style w:type="paragraph" w:styleId="Stopka">
    <w:name w:val="footer"/>
    <w:basedOn w:val="Normalny"/>
    <w:link w:val="StopkaZnak"/>
    <w:uiPriority w:val="99"/>
    <w:unhideWhenUsed/>
    <w:rsid w:val="0024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C5AF3960F1B049B53D892FA78AAB35" ma:contentTypeVersion="11" ma:contentTypeDescription="Utwórz nowy dokument." ma:contentTypeScope="" ma:versionID="4d894c350b3f9363262132e1c943a3d9">
  <xsd:schema xmlns:xsd="http://www.w3.org/2001/XMLSchema" xmlns:xs="http://www.w3.org/2001/XMLSchema" xmlns:p="http://schemas.microsoft.com/office/2006/metadata/properties" xmlns:ns2="e2a66f41-e71c-43c0-978c-6b994620f43b" xmlns:ns3="8d6cc8ba-e0a3-4201-9943-658c578bb511" targetNamespace="http://schemas.microsoft.com/office/2006/metadata/properties" ma:root="true" ma:fieldsID="9dad50035b0489719b73a8fc70f969e4" ns2:_="" ns3:_="">
    <xsd:import namespace="e2a66f41-e71c-43c0-978c-6b994620f43b"/>
    <xsd:import namespace="8d6cc8ba-e0a3-4201-9943-658c578bb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6f41-e71c-43c0-978c-6b994620f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c8ba-e0a3-4201-9943-658c578bb51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5843598-b322-428f-9e8a-d8a703e0deef}" ma:internalName="TaxCatchAll" ma:showField="CatchAllData" ma:web="8d6cc8ba-e0a3-4201-9943-658c578bb5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a66f41-e71c-43c0-978c-6b994620f43b">
      <Terms xmlns="http://schemas.microsoft.com/office/infopath/2007/PartnerControls"/>
    </lcf76f155ced4ddcb4097134ff3c332f>
    <TaxCatchAll xmlns="8d6cc8ba-e0a3-4201-9943-658c578bb511" xsi:nil="true"/>
  </documentManagement>
</p:properties>
</file>

<file path=customXml/itemProps1.xml><?xml version="1.0" encoding="utf-8"?>
<ds:datastoreItem xmlns:ds="http://schemas.openxmlformats.org/officeDocument/2006/customXml" ds:itemID="{9752E94E-74DB-4760-B6D8-F459BB17C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66f41-e71c-43c0-978c-6b994620f43b"/>
    <ds:schemaRef ds:uri="8d6cc8ba-e0a3-4201-9943-658c578bb5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9A975A-A57C-4F64-8005-21DE5BEE4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76FE-1D01-4943-87E1-19B4A7A51C84}">
  <ds:schemaRefs>
    <ds:schemaRef ds:uri="http://schemas.microsoft.com/office/2006/metadata/properties"/>
    <ds:schemaRef ds:uri="http://schemas.microsoft.com/office/infopath/2007/PartnerControls"/>
    <ds:schemaRef ds:uri="e2a66f41-e71c-43c0-978c-6b994620f43b"/>
    <ds:schemaRef ds:uri="8d6cc8ba-e0a3-4201-9943-658c578bb5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1659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Ewa</dc:creator>
  <cp:keywords/>
  <dc:description/>
  <cp:lastModifiedBy>Małecka Agata</cp:lastModifiedBy>
  <cp:revision>2</cp:revision>
  <dcterms:created xsi:type="dcterms:W3CDTF">2025-06-05T10:00:00Z</dcterms:created>
  <dcterms:modified xsi:type="dcterms:W3CDTF">2025-06-05T10:00:00Z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0x01010045C5AF3960F1B049B53D892FA78AAB35</vt:lpwstr>
  </property>
  <property fmtid="{D5CDD505-2E9C-101B-9397-08002B2CF9AE}" pid="3" name="Order">
    <vt:r8>692200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